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lang w:val="sl-SI"/>
        </w:rPr>
      </w:pPr>
      <w:r>
        <w:rPr>
          <w:b/>
          <w:lang w:val="sl-SI"/>
        </w:rPr>
        <w:t>РЕПУБЛИКА СРБИЈА</w:t>
      </w:r>
    </w:p>
    <w:p>
      <w:pPr>
        <w:pStyle w:val="Normal"/>
        <w:rPr>
          <w:b/>
          <w:b/>
          <w:lang w:val="ru-RU"/>
        </w:rPr>
      </w:pPr>
      <w:r>
        <w:rPr>
          <w:b/>
          <w:lang w:val="ru-RU"/>
        </w:rPr>
        <w:t>Град</w:t>
      </w:r>
      <w:r>
        <w:rPr>
          <w:b/>
          <w:lang w:val="sr-CS"/>
        </w:rPr>
        <w:t xml:space="preserve"> </w:t>
      </w:r>
      <w:r>
        <w:rPr>
          <w:b/>
          <w:lang w:val="ru-RU"/>
        </w:rPr>
        <w:t>Београд</w:t>
      </w:r>
    </w:p>
    <w:p>
      <w:pPr>
        <w:pStyle w:val="Normal"/>
        <w:rPr>
          <w:b/>
          <w:b/>
          <w:lang w:val="sr-CS"/>
        </w:rPr>
      </w:pPr>
      <w:r>
        <w:rPr>
          <w:b/>
          <w:lang w:val="sr-CS"/>
        </w:rPr>
        <w:t>Градска општина Чукарица</w:t>
      </w:r>
    </w:p>
    <w:p>
      <w:pPr>
        <w:pStyle w:val="Normal"/>
        <w:rPr>
          <w:b/>
          <w:b/>
          <w:spacing w:val="-4"/>
          <w:lang w:val="sr-CS"/>
        </w:rPr>
      </w:pPr>
      <w:r>
        <w:rPr>
          <w:b/>
          <w:spacing w:val="-4"/>
          <w:lang w:val="sr-CS"/>
        </w:rPr>
        <w:t>Управа градске општине</w:t>
      </w:r>
    </w:p>
    <w:p>
      <w:pPr>
        <w:pStyle w:val="Normal"/>
        <w:rPr>
          <w:b/>
          <w:b/>
          <w:lang w:val="sr-CS"/>
        </w:rPr>
      </w:pPr>
      <w:r>
        <w:rPr>
          <w:b/>
          <w:lang w:val="sr-CS"/>
        </w:rPr>
        <w:t>О</w:t>
      </w:r>
      <w:r>
        <w:rPr>
          <w:b/>
        </w:rPr>
        <w:t xml:space="preserve">дељење </w:t>
      </w:r>
      <w:r>
        <w:rPr>
          <w:b/>
          <w:lang w:val="sr-CS"/>
        </w:rPr>
        <w:t>за буџет и финансије</w:t>
      </w:r>
    </w:p>
    <w:p>
      <w:pPr>
        <w:pStyle w:val="Normal"/>
        <w:rPr/>
      </w:pPr>
      <w:r>
        <w:rPr>
          <w:b/>
        </w:rPr>
        <w:t>II</w:t>
      </w:r>
      <w:r>
        <w:rPr>
          <w:b/>
          <w:lang w:val="ru-RU"/>
        </w:rPr>
        <w:t xml:space="preserve"> /0</w:t>
      </w:r>
      <w:r>
        <w:rPr>
          <w:b/>
        </w:rPr>
        <w:t>2</w:t>
      </w:r>
      <w:r>
        <w:rPr>
          <w:b/>
          <w:lang w:val="ru-RU"/>
        </w:rPr>
        <w:t xml:space="preserve"> </w:t>
      </w:r>
      <w:r>
        <w:rPr>
          <w:b/>
          <w:lang w:val="sr-CS"/>
        </w:rPr>
        <w:t xml:space="preserve">број: </w:t>
      </w:r>
      <w:r>
        <w:rPr>
          <w:b/>
        </w:rPr>
        <w:t>401-5/</w:t>
      </w:r>
      <w:r>
        <w:rPr>
          <w:b/>
        </w:rPr>
        <w:t>202</w:t>
      </w:r>
      <w:r>
        <w:rPr>
          <w:b/>
        </w:rPr>
        <w:t>3</w:t>
      </w:r>
      <w:r>
        <w:rPr>
          <w:b/>
        </w:rPr>
        <w:t>-</w:t>
      </w:r>
      <w:r>
        <w:rPr>
          <w:b/>
        </w:rPr>
        <w:t>21</w:t>
      </w:r>
    </w:p>
    <w:p>
      <w:pPr>
        <w:pStyle w:val="Normal"/>
        <w:rPr/>
      </w:pPr>
      <w:r>
        <w:rPr>
          <w:b/>
          <w:bCs/>
          <w:lang w:val="sr-Latn-RS"/>
        </w:rPr>
        <w:t>30</w:t>
      </w:r>
      <w:r>
        <w:rPr>
          <w:b/>
          <w:bCs/>
          <w:lang w:val="sr-Latn-RS"/>
        </w:rPr>
        <w:t xml:space="preserve">. </w:t>
      </w:r>
      <w:r>
        <w:rPr>
          <w:b/>
          <w:bCs/>
          <w:lang w:val="sr-RS"/>
        </w:rPr>
        <w:t xml:space="preserve">март </w:t>
      </w:r>
      <w:r>
        <w:rPr>
          <w:b/>
          <w:bCs/>
          <w:lang w:val="sr-Latn-RS"/>
        </w:rPr>
        <w:t>2023</w:t>
      </w:r>
      <w:r>
        <w:rPr>
          <w:b/>
          <w:bCs/>
        </w:rPr>
        <w:t>.</w:t>
      </w:r>
      <w:r>
        <w:rPr>
          <w:b/>
          <w:bCs/>
          <w:lang w:val="sr-CS"/>
        </w:rPr>
        <w:t xml:space="preserve"> године</w:t>
      </w:r>
    </w:p>
    <w:p>
      <w:pPr>
        <w:pStyle w:val="Normal"/>
        <w:rPr>
          <w:lang w:val="sr-CS"/>
        </w:rPr>
      </w:pPr>
      <w:r>
        <w:rPr>
          <w:b/>
          <w:bCs/>
          <w:lang w:val="ru-RU"/>
        </w:rPr>
        <w:t>Шумадијски трг бр. 2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lang w:val="sr-CS"/>
        </w:rPr>
      </w:pPr>
      <w:r>
        <w:rPr>
          <w:lang w:val="sr-CS"/>
        </w:rPr>
      </w:r>
    </w:p>
    <w:p>
      <w:pPr>
        <w:pStyle w:val="Normal"/>
        <w:rPr>
          <w:lang w:val="sr-CS"/>
        </w:rPr>
      </w:pPr>
      <w:r>
        <w:rPr>
          <w:lang w:val="sr-CS"/>
        </w:rPr>
      </w:r>
    </w:p>
    <w:p>
      <w:pPr>
        <w:pStyle w:val="Normal"/>
        <w:ind w:firstLine="720"/>
        <w:jc w:val="both"/>
        <w:rPr/>
      </w:pPr>
      <w:r>
        <w:rPr>
          <w:rFonts w:cs="Tahoma"/>
          <w:sz w:val="24"/>
          <w:szCs w:val="24"/>
        </w:rPr>
        <w:t xml:space="preserve">На основу члана 16. </w:t>
      </w:r>
      <w:r>
        <w:rPr>
          <w:rFonts w:cs="Tahoma"/>
          <w:sz w:val="24"/>
          <w:szCs w:val="24"/>
          <w:lang w:val="sr-RS"/>
        </w:rPr>
        <w:t xml:space="preserve">став 2. </w:t>
      </w:r>
      <w:r>
        <w:rPr>
          <w:rFonts w:cs="Tahoma"/>
          <w:sz w:val="24"/>
          <w:szCs w:val="24"/>
        </w:rPr>
        <w:t>Закона о буџетском систему</w:t>
      </w:r>
      <w:r>
        <w:rPr>
          <w:rFonts w:cs="Tahoma"/>
          <w:sz w:val="24"/>
          <w:szCs w:val="24"/>
          <w:lang w:val="sr-RS"/>
        </w:rPr>
        <w:t xml:space="preserve"> („Сл</w:t>
      </w:r>
      <w:r>
        <w:rPr>
          <w:rFonts w:cs="Tahoma"/>
          <w:sz w:val="24"/>
          <w:szCs w:val="24"/>
        </w:rPr>
        <w:t xml:space="preserve">. </w:t>
      </w:r>
      <w:r>
        <w:rPr>
          <w:rFonts w:cs="Tahoma"/>
          <w:sz w:val="24"/>
          <w:szCs w:val="24"/>
          <w:lang w:val="sr-RS"/>
        </w:rPr>
        <w:t>гласник</w:t>
      </w:r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sr-RS"/>
        </w:rPr>
        <w:t>РС“</w:t>
      </w:r>
      <w:r>
        <w:rPr>
          <w:rFonts w:cs="Tahoma"/>
          <w:sz w:val="24"/>
          <w:szCs w:val="24"/>
        </w:rPr>
        <w:t xml:space="preserve">, </w:t>
      </w:r>
      <w:r>
        <w:rPr>
          <w:rFonts w:cs="Tahoma"/>
          <w:sz w:val="24"/>
          <w:szCs w:val="24"/>
          <w:lang w:val="sr-RS"/>
        </w:rPr>
        <w:t>бр</w:t>
      </w:r>
      <w:r>
        <w:rPr>
          <w:rFonts w:cs="Tahoma"/>
          <w:sz w:val="24"/>
          <w:szCs w:val="24"/>
        </w:rPr>
        <w:t xml:space="preserve">. 54/2009, 73/2010, 101/2010, 101/2011, 93/2012, 62/2013, 63/2013 - </w:t>
      </w:r>
      <w:r>
        <w:rPr>
          <w:rFonts w:cs="Tahoma"/>
          <w:sz w:val="24"/>
          <w:szCs w:val="24"/>
          <w:lang w:val="sr-RS"/>
        </w:rPr>
        <w:t>испр</w:t>
      </w:r>
      <w:r>
        <w:rPr>
          <w:rFonts w:cs="Tahoma"/>
          <w:sz w:val="24"/>
          <w:szCs w:val="24"/>
        </w:rPr>
        <w:t xml:space="preserve">., 108/2013, 142/2014, 68/2015 - </w:t>
      </w:r>
      <w:r>
        <w:rPr>
          <w:rFonts w:cs="Tahoma"/>
          <w:sz w:val="24"/>
          <w:szCs w:val="24"/>
          <w:lang w:val="sr-RS"/>
        </w:rPr>
        <w:t>др</w:t>
      </w:r>
      <w:r>
        <w:rPr>
          <w:rFonts w:cs="Tahoma"/>
          <w:sz w:val="24"/>
          <w:szCs w:val="24"/>
        </w:rPr>
        <w:t xml:space="preserve">. </w:t>
      </w:r>
      <w:r>
        <w:rPr>
          <w:rFonts w:cs="Tahoma"/>
          <w:sz w:val="24"/>
          <w:szCs w:val="24"/>
          <w:lang w:val="sr-RS"/>
        </w:rPr>
        <w:t>закон</w:t>
      </w:r>
      <w:r>
        <w:rPr>
          <w:rFonts w:cs="Tahoma"/>
          <w:sz w:val="24"/>
          <w:szCs w:val="24"/>
        </w:rPr>
        <w:t>, 103/2015, 99/2016</w:t>
      </w:r>
      <w:r>
        <w:rPr>
          <w:rFonts w:cs="Tahoma"/>
          <w:sz w:val="24"/>
          <w:szCs w:val="24"/>
          <w:lang w:val="sr-RS"/>
        </w:rPr>
        <w:t xml:space="preserve">, </w:t>
      </w:r>
      <w:r>
        <w:rPr>
          <w:rFonts w:cs="Tahoma"/>
          <w:sz w:val="24"/>
          <w:szCs w:val="24"/>
        </w:rPr>
        <w:t>113/2017,</w:t>
      </w:r>
      <w:r>
        <w:rPr>
          <w:rFonts w:cs="Tahoma"/>
          <w:sz w:val="24"/>
          <w:szCs w:val="24"/>
          <w:lang w:val="sr-RS"/>
        </w:rPr>
        <w:t xml:space="preserve"> 95/2018, 31/2019, 72/2019, 149/2020, 118/2021, 118</w:t>
      </w:r>
      <w:r>
        <w:rPr>
          <w:rFonts w:cs="Tahoma"/>
          <w:sz w:val="24"/>
          <w:szCs w:val="24"/>
          <w:lang w:val="sr-Latn-RS"/>
        </w:rPr>
        <w:t xml:space="preserve">/2021 – </w:t>
      </w:r>
      <w:r>
        <w:rPr>
          <w:rFonts w:cs="Tahoma"/>
          <w:sz w:val="24"/>
          <w:szCs w:val="24"/>
          <w:lang w:val="sr-RS"/>
        </w:rPr>
        <w:t xml:space="preserve">др. закон и </w:t>
      </w:r>
      <w:r>
        <w:rPr>
          <w:rFonts w:cs="Tahoma"/>
          <w:sz w:val="24"/>
          <w:szCs w:val="24"/>
          <w:lang w:val="sr-Latn-RS"/>
        </w:rPr>
        <w:t>138/2022</w:t>
      </w:r>
      <w:r>
        <w:rPr>
          <w:rFonts w:cs="Tahoma"/>
          <w:sz w:val="24"/>
          <w:szCs w:val="24"/>
          <w:lang w:val="sr-RS"/>
        </w:rPr>
        <w:t>)</w:t>
      </w:r>
      <w:r>
        <w:rPr>
          <w:rFonts w:cs="Tahoma"/>
          <w:sz w:val="24"/>
          <w:szCs w:val="24"/>
        </w:rPr>
        <w:t>,</w:t>
      </w:r>
      <w:r>
        <w:rPr/>
        <w:t xml:space="preserve"> </w:t>
      </w:r>
      <w:r>
        <w:rPr>
          <w:lang w:val="sr-RS"/>
        </w:rPr>
        <w:t>н</w:t>
      </w:r>
      <w:r>
        <w:rPr/>
        <w:t>ачелни</w:t>
      </w:r>
      <w:r>
        <w:rPr>
          <w:lang w:val="sr-RS"/>
        </w:rPr>
        <w:t>к</w:t>
      </w:r>
      <w:r>
        <w:rPr/>
        <w:t xml:space="preserve"> Oдељења за буџет и финансије  градске општине Чукарица, доноси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ПЛАН ПОСТУПНОГ УВОЂЕЊА РОДНО ОДГОВОРНОГ БУЏЕТИРАЊА У ПОСТУПАК ПРИПРЕМЕ И ДОНОШЕЊА БУЏЕТА </w:t>
      </w:r>
    </w:p>
    <w:p>
      <w:pPr>
        <w:pStyle w:val="Normal"/>
        <w:jc w:val="center"/>
        <w:rPr/>
      </w:pPr>
      <w:r>
        <w:rPr>
          <w:b/>
        </w:rPr>
        <w:t>ГРАДСКЕ ОПШТИНЕ ЧУКАРИЦА ЗА 2024</w:t>
      </w:r>
      <w:r>
        <w:rPr>
          <w:b/>
          <w:lang w:val="sr-RS"/>
        </w:rPr>
        <w:t>.</w:t>
      </w:r>
      <w:r>
        <w:rPr>
          <w:b/>
        </w:rPr>
        <w:t xml:space="preserve"> ГОДИНУ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Родно одговорно буџетирање представља увођење принципа родне равноправности у буџетски процес што подразумева родну анализу буџета и реструктурирање прихода и расхода са циљем унапређења родне </w:t>
      </w:r>
      <w:r>
        <w:rPr>
          <w:lang w:val="sr-RS"/>
        </w:rPr>
        <w:t>равноправности. Градска општина Чукарица посвећена је континуираном подизању квалитета управљања јавним финансијама које ефективно одговарају на потребе локалне заједнице. Увођењем</w:t>
      </w:r>
      <w:r>
        <w:rPr/>
        <w:t xml:space="preserve"> принципа родне равноправности у буџетски процес наставља се са унапређењем програмског модела буџета.</w:t>
      </w:r>
      <w:r>
        <w:rPr>
          <w:lang w:val="sr-RS"/>
        </w:rPr>
        <w:t xml:space="preserve"> Родно одговорно буџетирање доприноси побољшању ефективности и транспарентности буџета и омогућава бољи увид у користи које жене и мушкарци имају од буџетских средстава.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>
          <w:rFonts w:cs="Tahoma"/>
          <w:sz w:val="24"/>
          <w:szCs w:val="24"/>
          <w:lang w:val="sr-RS"/>
        </w:rPr>
        <w:t xml:space="preserve">Имајући у виду да је у циклусу израде буџета за 2023. годину, родно одговорно буџетирање предвиђено у оквиру Програма 9 – Основно образовање и васпитање, Програма 11 – Социјална и дечја заштита, </w:t>
      </w:r>
      <w:r>
        <w:rPr>
          <w:rFonts w:cs="Tahoma"/>
          <w:sz w:val="24"/>
          <w:szCs w:val="24"/>
          <w:lang w:val="sr-CS"/>
        </w:rPr>
        <w:t xml:space="preserve">Програма 12 </w:t>
      </w:r>
      <w:r>
        <w:rPr>
          <w:rFonts w:cs="Tahoma"/>
          <w:sz w:val="24"/>
          <w:szCs w:val="24"/>
          <w:lang w:val="sr-RS"/>
        </w:rPr>
        <w:t>–</w:t>
      </w:r>
      <w:r>
        <w:rPr>
          <w:rFonts w:cs="Tahoma"/>
          <w:sz w:val="24"/>
          <w:szCs w:val="24"/>
          <w:lang w:val="sr-CS"/>
        </w:rPr>
        <w:t xml:space="preserve"> Здравствена заштита, </w:t>
      </w:r>
      <w:r>
        <w:rPr>
          <w:rFonts w:cs="Tahoma"/>
          <w:sz w:val="24"/>
          <w:szCs w:val="24"/>
          <w:lang w:val="sr-RS"/>
        </w:rPr>
        <w:t xml:space="preserve">Програма 13 – Развој културе и информисања, Програма 14 – Развој спорта и омладине и Програма 16 </w:t>
      </w:r>
      <w:bookmarkStart w:id="0" w:name="__DdeLink__192_2135683626"/>
      <w:r>
        <w:rPr>
          <w:rFonts w:cs="Tahoma"/>
          <w:sz w:val="24"/>
          <w:szCs w:val="24"/>
          <w:lang w:val="sr-RS"/>
        </w:rPr>
        <w:t>–</w:t>
      </w:r>
      <w:bookmarkEnd w:id="0"/>
      <w:r>
        <w:rPr>
          <w:rFonts w:cs="Tahoma"/>
          <w:sz w:val="24"/>
          <w:szCs w:val="24"/>
          <w:lang w:val="sr-RS"/>
        </w:rPr>
        <w:t xml:space="preserve"> Политички систем локалне самоуправе, код корисника Одељења за друштвене делатности и привреду, Локалног савета за родну равноправност и индиректних корисника КЦ „Чукарица“ и Спортска организација Чукарица, програмске информације које су садржале родну перспективу ажурирају се и у циклусу израде буџета за 2024. годину</w:t>
      </w:r>
      <w:r>
        <w:rPr>
          <w:rFonts w:cs="Tahoma"/>
          <w:sz w:val="24"/>
          <w:szCs w:val="24"/>
          <w:lang w:val="sr-CS"/>
        </w:rPr>
        <w:t xml:space="preserve">, а предвиђају се и додатни родно одговорни циљеви (и припадајући индикатори) у оквиру Програма </w:t>
      </w:r>
      <w:r>
        <w:rPr>
          <w:rFonts w:cs="Tahoma"/>
          <w:sz w:val="24"/>
          <w:szCs w:val="24"/>
          <w:lang w:val="sr-RS"/>
        </w:rPr>
        <w:t>4</w:t>
      </w:r>
      <w:r>
        <w:rPr>
          <w:rFonts w:cs="Tahoma"/>
          <w:sz w:val="24"/>
          <w:szCs w:val="24"/>
          <w:lang w:val="sr-CS"/>
        </w:rPr>
        <w:t xml:space="preserve"> – </w:t>
      </w:r>
      <w:r>
        <w:rPr>
          <w:rFonts w:cs="Tahoma"/>
          <w:sz w:val="24"/>
          <w:szCs w:val="24"/>
          <w:lang w:val="sr-RS"/>
        </w:rPr>
        <w:t>Развој туризма, Програма 5 – Пољопривреда и рурални развој, Програма 8 – Предшколско васпитање и образовање, Програма 15 – Опште услуге локалне самоуправе.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lang w:val="sr-RS"/>
        </w:rPr>
        <w:t>1. Увођење родно одговорног буџетирања у поступку припреме и доношења буџета за 2024. годину, утврђује се према Плану приказаном следећом табелом:</w:t>
      </w:r>
    </w:p>
    <w:p>
      <w:pPr>
        <w:pStyle w:val="Normal"/>
        <w:ind w:left="0" w:firstLine="360"/>
        <w:jc w:val="both"/>
        <w:rPr/>
      </w:pPr>
      <w:r>
        <w:rPr/>
      </w:r>
    </w:p>
    <w:tbl>
      <w:tblPr>
        <w:tblW w:w="94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3"/>
        <w:gridCol w:w="3383"/>
        <w:gridCol w:w="5175"/>
      </w:tblGrid>
      <w:tr>
        <w:trPr>
          <w:trHeight w:val="804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EECE1" w:themeFill="background2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Редни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број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EECE1" w:themeFill="background2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НАЗИВ БУЏЕТСКОГ КОРИСНИКА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EECE1" w:themeFill="background2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НАЗИВ ПРОГРАМА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(број и назив програма у складу са униформном прогр. структуром буџета ЈЛС)</w:t>
            </w:r>
          </w:p>
        </w:tc>
      </w:tr>
      <w:tr>
        <w:trPr>
          <w:trHeight w:val="1313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1.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Управа ГО Чукарица – индиректни корисник Туристичка организација Чукарица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 xml:space="preserve">Програм 4 – </w:t>
            </w:r>
          </w:p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Развој туризма</w:t>
            </w:r>
          </w:p>
        </w:tc>
      </w:tr>
      <w:tr>
        <w:trPr>
          <w:trHeight w:val="1313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2.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Управа ГО Чукарица – Одељење за друштвене делатности и привреду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 xml:space="preserve">Програм 5 – </w:t>
            </w:r>
          </w:p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Пољопривреда и рурални развој</w:t>
            </w:r>
          </w:p>
        </w:tc>
      </w:tr>
      <w:tr>
        <w:trPr>
          <w:trHeight w:val="1313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3.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Управа ГО Чукарица – Одељење за друштвене делатности и привреду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 xml:space="preserve">Програм 8 – </w:t>
            </w:r>
          </w:p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Предшколско васпитање и образовање</w:t>
            </w:r>
          </w:p>
        </w:tc>
      </w:tr>
      <w:tr>
        <w:trPr>
          <w:trHeight w:val="1313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4</w:t>
            </w:r>
            <w:r>
              <w:rPr>
                <w:lang w:val="sr-CS"/>
              </w:rPr>
              <w:t>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Управа ГО Чукарица – </w:t>
            </w:r>
            <w:r>
              <w:rPr>
                <w:lang w:val="sr-RS"/>
              </w:rPr>
              <w:t>О</w:t>
            </w:r>
            <w:r>
              <w:rPr/>
              <w:t>дељење за друштвене делатности и привреду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CS"/>
              </w:rPr>
              <w:t xml:space="preserve">Програм 9 – </w:t>
            </w:r>
          </w:p>
          <w:p>
            <w:pPr>
              <w:pStyle w:val="Normal"/>
              <w:jc w:val="center"/>
              <w:rPr>
                <w:lang w:val="sr-CS"/>
              </w:rPr>
            </w:pPr>
            <w:r>
              <w:rPr>
                <w:lang w:val="sr-CS"/>
              </w:rPr>
              <w:t>Основно образовање и васпитање</w:t>
            </w:r>
          </w:p>
        </w:tc>
      </w:tr>
      <w:tr>
        <w:trPr>
          <w:trHeight w:val="1378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5</w:t>
            </w:r>
            <w:r>
              <w:rPr>
                <w:lang w:val="sr-CS"/>
              </w:rPr>
              <w:t>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Управа ГО Чукарица – </w:t>
            </w:r>
            <w:r>
              <w:rPr>
                <w:lang w:val="sr-RS"/>
              </w:rPr>
              <w:t>О</w:t>
            </w:r>
            <w:r>
              <w:rPr/>
              <w:t>дељење за друштвене делатности и привреду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Програм 11 </w:t>
            </w:r>
            <w:bookmarkStart w:id="1" w:name="__DdeLink__328_449575448"/>
            <w:r>
              <w:rPr/>
              <w:t>–</w:t>
            </w:r>
            <w:bookmarkEnd w:id="1"/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/>
              <w:t>Социјална и дечја заштита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6</w:t>
            </w:r>
            <w:r>
              <w:rPr/>
              <w:t>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Управа ГО Чукарица – </w:t>
            </w:r>
            <w:r>
              <w:rPr>
                <w:lang w:val="sr-RS"/>
              </w:rPr>
              <w:t>О</w:t>
            </w:r>
            <w:r>
              <w:rPr/>
              <w:t>дељење за друштвене делатности и привреду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 1</w:t>
            </w:r>
            <w:r>
              <w:rPr>
                <w:lang w:val="sr-RS"/>
              </w:rPr>
              <w:t>2</w:t>
            </w:r>
            <w:r>
              <w:rPr/>
              <w:t xml:space="preserve"> – </w:t>
            </w:r>
          </w:p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Здравствена заштита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7.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Управа ГО Чукарица – </w:t>
            </w:r>
            <w:r>
              <w:rPr>
                <w:lang w:val="sr-RS"/>
              </w:rPr>
              <w:t>и</w:t>
            </w:r>
            <w:r>
              <w:rPr>
                <w:lang w:val="sr-CS"/>
              </w:rPr>
              <w:t xml:space="preserve">ндиректни корисник </w:t>
            </w:r>
          </w:p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Културни центар „Чукарица“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 1</w:t>
            </w:r>
            <w:r>
              <w:rPr>
                <w:lang w:val="sr-CS"/>
              </w:rPr>
              <w:t>3</w:t>
            </w:r>
            <w:r>
              <w:rPr/>
              <w:t xml:space="preserve"> – </w:t>
            </w:r>
          </w:p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Развој културе и информисања</w:t>
            </w:r>
          </w:p>
        </w:tc>
      </w:tr>
      <w:tr>
        <w:trPr>
          <w:trHeight w:val="848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8</w:t>
            </w:r>
            <w:r>
              <w:rPr>
                <w:lang w:val="sr-CS"/>
              </w:rPr>
              <w:t>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Управа ГО Чукарица </w:t>
            </w:r>
            <w:bookmarkStart w:id="2" w:name="__DdeLink__6985_3237137406"/>
            <w:r>
              <w:rPr/>
              <w:t>–</w:t>
            </w:r>
            <w:bookmarkEnd w:id="2"/>
            <w:r>
              <w:rPr/>
              <w:t xml:space="preserve"> </w:t>
            </w:r>
            <w:r>
              <w:rPr>
                <w:lang w:val="sr-RS"/>
              </w:rPr>
              <w:t>О</w:t>
            </w:r>
            <w:r>
              <w:rPr/>
              <w:t xml:space="preserve">дељење за друштвене делатности и привреду </w:t>
            </w:r>
            <w:r>
              <w:rPr>
                <w:lang w:val="sr-RS"/>
              </w:rPr>
              <w:t>и индиректни корисник Спортска организација Чукарица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Програм 14 – </w:t>
            </w:r>
          </w:p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Развој спорта и омладине</w:t>
            </w:r>
          </w:p>
        </w:tc>
      </w:tr>
      <w:tr>
        <w:trPr>
          <w:trHeight w:val="1350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9.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Управа ГО Чукарица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 xml:space="preserve">Програм 15 – </w:t>
            </w:r>
          </w:p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Опште услуге локалне самоуправе</w:t>
            </w:r>
          </w:p>
        </w:tc>
      </w:tr>
      <w:tr>
        <w:trPr>
          <w:trHeight w:val="1350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10.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Управа ГО Чукарица</w:t>
            </w:r>
            <w:r>
              <w:rPr>
                <w:lang w:val="sr-CS"/>
              </w:rPr>
              <w:t xml:space="preserve"> – </w:t>
            </w:r>
            <w:r>
              <w:rPr>
                <w:lang w:val="sr-RS"/>
              </w:rPr>
              <w:t>Локални савет за родну равноправност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 xml:space="preserve">Програм 16 – </w:t>
            </w:r>
          </w:p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lang w:val="sr-RS"/>
              </w:rPr>
              <w:t>Политички систем локалне самоуправе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/>
        <w:jc w:val="both"/>
        <w:rPr>
          <w:b/>
          <w:b/>
        </w:rPr>
      </w:pPr>
      <w:r>
        <w:rPr>
          <w:b w:val="false"/>
          <w:bCs w:val="false"/>
        </w:rPr>
        <w:t>На основу родне анализе наведени корисник буџетских средстава треба да формулише најмање један родно одговорни циљ у оквиру програма из тачке 1. овог плана за које је одговоран, као и у оквиру програмских активности и/или пројекта које спроводи. Корисник буџетских средстава треба да формулише за постављене циљеве одговарајуће индикаторе који адекватно мере допринос циља унапређењу равноправности између жена и мушкараца, тако да сви индикатори који се односе на лица буду разврстани по полу.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У постављању циљева и примени програма, односно програмских активности и/или пројекта корисник буџетских средстава користи релевантне националне и локалне стратегије и анализе за родну равноправност као што је Национална стратегија за родну равноправност са </w:t>
      </w:r>
      <w:r>
        <w:rPr>
          <w:lang w:val="sr-RS"/>
        </w:rPr>
        <w:t xml:space="preserve">припадајућим </w:t>
      </w:r>
      <w:r>
        <w:rPr/>
        <w:t>Акционим планом.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left="0" w:hanging="0"/>
        <w:jc w:val="both"/>
        <w:rPr/>
      </w:pPr>
      <w:r>
        <w:rPr/>
        <w:tab/>
        <w:t xml:space="preserve">2. Послове координације активности у области техничке и стручне подршке увођењу родно одговорног буџетирања спровешће </w:t>
      </w:r>
      <w:r>
        <w:rPr>
          <w:b/>
          <w:lang w:val="sr-CS"/>
        </w:rPr>
        <w:t>Кординатор</w:t>
      </w:r>
      <w:r>
        <w:rPr>
          <w:b/>
          <w:lang w:val="sr-RS"/>
        </w:rPr>
        <w:t>ка</w:t>
      </w:r>
      <w:r>
        <w:rPr>
          <w:b/>
          <w:lang w:val="sr-CS"/>
        </w:rPr>
        <w:t xml:space="preserve"> за родну равноправност </w:t>
      </w:r>
      <w:r>
        <w:rPr>
          <w:b w:val="false"/>
          <w:bCs w:val="false"/>
          <w:lang w:val="sr-CS"/>
        </w:rPr>
        <w:t>и</w:t>
      </w:r>
      <w:r>
        <w:rPr>
          <w:lang w:val="sr-CS"/>
        </w:rPr>
        <w:t xml:space="preserve"> </w:t>
      </w:r>
      <w:r>
        <w:rPr>
          <w:b/>
        </w:rPr>
        <w:t>Одељење за буџет и финансије градске општине</w:t>
      </w:r>
      <w:r>
        <w:rPr>
          <w:b/>
          <w:lang w:val="sr-CS"/>
        </w:rPr>
        <w:t xml:space="preserve">, </w:t>
      </w:r>
      <w:r>
        <w:rPr/>
        <w:t>у сарадњи са релевантним институцијама надлежним за унапређење родне равнопр</w:t>
      </w:r>
      <w:r>
        <w:rPr>
          <w:lang w:val="sr-RS"/>
        </w:rPr>
        <w:t>а</w:t>
      </w:r>
      <w:r>
        <w:rPr/>
        <w:t>вности.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left="0" w:hanging="0"/>
        <w:jc w:val="both"/>
        <w:rPr/>
      </w:pPr>
      <w:r>
        <w:rPr/>
        <w:tab/>
        <w:t xml:space="preserve">3. Сви буџетски корисници подстичу се да у поступку израде програмског буџета кроз програме, програмске активности и пројекте у оквиру својих надлежности, припремају индикаторе/показатеље који се односе на лица тако да они буду разврстани по полу. </w:t>
      </w:r>
    </w:p>
    <w:p>
      <w:pPr>
        <w:pStyle w:val="ListParagraph"/>
        <w:rPr/>
      </w:pPr>
      <w:r>
        <w:rPr/>
      </w:r>
    </w:p>
    <w:p>
      <w:pPr>
        <w:pStyle w:val="Normal"/>
        <w:ind w:left="0" w:hanging="0"/>
        <w:jc w:val="both"/>
        <w:rPr/>
      </w:pPr>
      <w:r>
        <w:rPr/>
        <w:tab/>
        <w:t>4. Овај план објављује се на интернет страници градске општине и доставља свим буџетским корисницима градске општине.</w:t>
      </w:r>
    </w:p>
    <w:p>
      <w:pPr>
        <w:pStyle w:val="ListParagraph"/>
        <w:rPr/>
      </w:pPr>
      <w:r>
        <w:rPr/>
      </w:r>
    </w:p>
    <w:p>
      <w:pPr>
        <w:pStyle w:val="Normal"/>
        <w:ind w:left="5760" w:hanging="0"/>
        <w:jc w:val="center"/>
        <w:rPr>
          <w:lang w:val="sr-CS"/>
        </w:rPr>
      </w:pPr>
      <w:r>
        <w:rPr>
          <w:lang w:val="sr-CS"/>
        </w:rPr>
      </w:r>
    </w:p>
    <w:p>
      <w:pPr>
        <w:pStyle w:val="Normal"/>
        <w:ind w:left="5760" w:hanging="0"/>
        <w:jc w:val="center"/>
        <w:rPr>
          <w:lang w:val="sr-CS"/>
        </w:rPr>
      </w:pPr>
      <w:r>
        <w:rPr>
          <w:lang w:val="sr-CS"/>
        </w:rPr>
      </w:r>
    </w:p>
    <w:p>
      <w:pPr>
        <w:pStyle w:val="Normal"/>
        <w:ind w:left="5760" w:hanging="0"/>
        <w:jc w:val="center"/>
        <w:rPr/>
      </w:pPr>
      <w:r>
        <w:rPr>
          <w:b w:val="false"/>
          <w:bCs w:val="false"/>
        </w:rPr>
        <w:t>НАЧЕЛНИ</w:t>
      </w:r>
      <w:r>
        <w:rPr>
          <w:b w:val="false"/>
          <w:bCs w:val="false"/>
          <w:lang w:val="sr-RS"/>
        </w:rPr>
        <w:t>К</w:t>
      </w:r>
      <w:r>
        <w:rPr>
          <w:b w:val="false"/>
          <w:bCs w:val="false"/>
        </w:rPr>
        <w:t xml:space="preserve"> ОДЕЉЕЊА ЗА</w:t>
      </w:r>
    </w:p>
    <w:p>
      <w:pPr>
        <w:pStyle w:val="Normal"/>
        <w:ind w:left="576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БУЏЕТ И ФИНАНСИЈЕ</w:t>
      </w:r>
    </w:p>
    <w:p>
      <w:pPr>
        <w:pStyle w:val="Normal"/>
        <w:ind w:left="5760" w:hanging="0"/>
        <w:jc w:val="center"/>
        <w:rPr>
          <w:lang w:val="sr-RS"/>
        </w:rPr>
      </w:pPr>
      <w:r>
        <w:rPr>
          <w:b w:val="false"/>
          <w:bCs w:val="false"/>
          <w:lang w:val="sr-CS"/>
        </w:rPr>
        <w:t>М</w:t>
      </w:r>
      <w:r>
        <w:rPr>
          <w:b w:val="false"/>
          <w:bCs w:val="false"/>
          <w:lang w:val="sr-RS"/>
        </w:rPr>
        <w:t>ирко Игњатовић</w:t>
      </w:r>
    </w:p>
    <w:p>
      <w:pPr>
        <w:pStyle w:val="Normal"/>
        <w:ind w:left="5760" w:hanging="0"/>
        <w:jc w:val="center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458f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rFonts w:ascii="Liberation Serif" w:hAnsi="Liberation Serif" w:eastAsia="SimSun" w:cs="Arial Unicode M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basedOn w:val="DefaultParagraphFont"/>
    <w:link w:val="FootnoteText"/>
    <w:semiHidden/>
    <w:qFormat/>
    <w:rsid w:val="0022458f"/>
    <w:rPr>
      <w:rFonts w:ascii="Times New Roman" w:hAnsi="Times New Roman" w:eastAsia="Times New Roman" w:cs="Times New Roman"/>
      <w:sz w:val="20"/>
      <w:szCs w:val="20"/>
    </w:rPr>
  </w:style>
  <w:style w:type="character" w:styleId="FootnoteCharacters">
    <w:name w:val="Footnote Characters"/>
    <w:semiHidden/>
    <w:unhideWhenUsed/>
    <w:qFormat/>
    <w:rsid w:val="0022458f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ahoma"/>
      <w:i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otnote">
    <w:name w:val="Footnote Text"/>
    <w:basedOn w:val="Normal"/>
    <w:link w:val="FootnoteTextChar"/>
    <w:semiHidden/>
    <w:unhideWhenUsed/>
    <w:rsid w:val="0022458f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2458f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92cc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A0A67-06C4-4184-8DE8-32C4AC10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Application>LibreOffice/6.0.6.2$Windows_X86_64 LibreOffice_project/0c292870b25a325b5ed35f6b45599d2ea4458e77</Application>
  <Pages>3</Pages>
  <Words>706</Words>
  <Characters>4349</Characters>
  <CharactersWithSpaces>5035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2021-01-13T09:53:00Z</dcterms:created>
  <dc:creator>Kor</dc:creator>
  <dc:description/>
  <dc:language>en-US</dc:language>
  <cp:lastModifiedBy/>
  <cp:lastPrinted>2017-04-13T06:45:00Z</cp:lastPrinted>
  <dcterms:modified xsi:type="dcterms:W3CDTF">2023-03-30T13:30:36Z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